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8"/>
        <w:gridCol w:w="2544"/>
        <w:gridCol w:w="2430"/>
        <w:gridCol w:w="2032"/>
      </w:tblGrid>
      <w:tr w:rsidR="00FE7569" w:rsidRPr="00611659" w14:paraId="04447CF3" w14:textId="77777777" w:rsidTr="26B91D8D">
        <w:tc>
          <w:tcPr>
            <w:tcW w:w="9234" w:type="dxa"/>
            <w:gridSpan w:val="4"/>
            <w:tcMar>
              <w:top w:w="113" w:type="dxa"/>
            </w:tcMar>
          </w:tcPr>
          <w:p w14:paraId="1BD6388F" w14:textId="77777777" w:rsidR="00FE7569" w:rsidRPr="00047508" w:rsidRDefault="00FE75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Safety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Culture Ladder NEN</w:t>
            </w:r>
          </w:p>
        </w:tc>
      </w:tr>
      <w:tr w:rsidR="00FE7569" w:rsidRPr="00611659" w14:paraId="19C8B385" w14:textId="77777777" w:rsidTr="26B91D8D">
        <w:tc>
          <w:tcPr>
            <w:tcW w:w="2235" w:type="dxa"/>
            <w:tcMar>
              <w:top w:w="113" w:type="dxa"/>
            </w:tcMar>
          </w:tcPr>
          <w:p w14:paraId="527A3631" w14:textId="77777777" w:rsidR="00FE7569" w:rsidRPr="00047508" w:rsidRDefault="00FE756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Numéro de décision :</w:t>
            </w:r>
          </w:p>
        </w:tc>
        <w:tc>
          <w:tcPr>
            <w:tcW w:w="2552" w:type="dxa"/>
            <w:tcMar>
              <w:top w:w="113" w:type="dxa"/>
            </w:tcMar>
          </w:tcPr>
          <w:p w14:paraId="357DCD51" w14:textId="7FEF7FE7" w:rsidR="00FE7569" w:rsidRPr="00047508" w:rsidRDefault="00FE756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2025-14</w:t>
            </w:r>
          </w:p>
        </w:tc>
        <w:tc>
          <w:tcPr>
            <w:tcW w:w="2409" w:type="dxa"/>
            <w:tcMar>
              <w:top w:w="113" w:type="dxa"/>
            </w:tcMar>
          </w:tcPr>
          <w:p w14:paraId="363A7C43" w14:textId="77777777" w:rsidR="00FE7569" w:rsidRPr="00047508" w:rsidRDefault="00FE756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38" w:type="dxa"/>
            <w:tcMar>
              <w:top w:w="113" w:type="dxa"/>
            </w:tcMar>
          </w:tcPr>
          <w:p w14:paraId="7CBDD607" w14:textId="77777777" w:rsidR="00FE7569" w:rsidRPr="00047508" w:rsidRDefault="00FE756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7569" w:rsidRPr="00611659" w14:paraId="34C8B45D" w14:textId="77777777" w:rsidTr="26B91D8D">
        <w:tc>
          <w:tcPr>
            <w:tcW w:w="2235" w:type="dxa"/>
            <w:tcMar>
              <w:top w:w="113" w:type="dxa"/>
            </w:tcMar>
          </w:tcPr>
          <w:p w14:paraId="439BBB3A" w14:textId="77777777" w:rsidR="00FE7569" w:rsidRPr="00047508" w:rsidRDefault="00FE756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Objet :</w:t>
            </w:r>
          </w:p>
        </w:tc>
        <w:tc>
          <w:tcPr>
            <w:tcW w:w="6999" w:type="dxa"/>
            <w:gridSpan w:val="3"/>
            <w:tcMar>
              <w:top w:w="113" w:type="dxa"/>
            </w:tcMar>
          </w:tcPr>
          <w:p w14:paraId="486A659B" w14:textId="31D42D1F" w:rsidR="00FE7569" w:rsidRPr="00047508" w:rsidRDefault="00F01E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2</w:t>
            </w:r>
            <w:r>
              <w:rPr>
                <w:rFonts w:ascii="Arial" w:hAnsi="Arial"/>
                <w:sz w:val="20"/>
                <w:vertAlign w:val="superscript"/>
              </w:rPr>
              <w:t>e</w:t>
            </w:r>
            <w:r>
              <w:rPr>
                <w:rFonts w:ascii="Arial" w:hAnsi="Arial"/>
                <w:sz w:val="20"/>
              </w:rPr>
              <w:t xml:space="preserve"> RÉV Décision « Interprétation pondération des sous-thèmes SCL 2.0 »</w:t>
            </w:r>
          </w:p>
        </w:tc>
      </w:tr>
      <w:tr w:rsidR="00FE7569" w:rsidRPr="00611659" w14:paraId="785BD623" w14:textId="77777777" w:rsidTr="26B91D8D">
        <w:tc>
          <w:tcPr>
            <w:tcW w:w="2235" w:type="dxa"/>
            <w:tcBorders>
              <w:bottom w:val="single" w:sz="4" w:space="0" w:color="auto"/>
            </w:tcBorders>
            <w:tcMar>
              <w:top w:w="113" w:type="dxa"/>
            </w:tcMar>
          </w:tcPr>
          <w:p w14:paraId="12BC3173" w14:textId="77777777" w:rsidR="00FE7569" w:rsidRPr="00047508" w:rsidRDefault="00FE756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Date :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tcMar>
              <w:top w:w="113" w:type="dxa"/>
            </w:tcMar>
          </w:tcPr>
          <w:p w14:paraId="58C1BE33" w14:textId="35677BAF" w:rsidR="00FE7569" w:rsidRPr="00047508" w:rsidRDefault="00FE756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28 janvier 2026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tcMar>
              <w:top w:w="113" w:type="dxa"/>
            </w:tcMar>
          </w:tcPr>
          <w:p w14:paraId="1BAA97ED" w14:textId="77777777" w:rsidR="00FE7569" w:rsidRPr="00047508" w:rsidRDefault="00FE756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38" w:type="dxa"/>
            <w:tcBorders>
              <w:bottom w:val="single" w:sz="4" w:space="0" w:color="auto"/>
            </w:tcBorders>
            <w:tcMar>
              <w:top w:w="113" w:type="dxa"/>
            </w:tcMar>
          </w:tcPr>
          <w:p w14:paraId="7A931A10" w14:textId="77777777" w:rsidR="00FE7569" w:rsidRPr="00047508" w:rsidRDefault="00FE756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7569" w:rsidRPr="00611659" w14:paraId="0095C0E2" w14:textId="77777777" w:rsidTr="26B91D8D">
        <w:trPr>
          <w:trHeight w:val="596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tcMar>
              <w:top w:w="113" w:type="dxa"/>
            </w:tcMar>
            <w:vAlign w:val="center"/>
          </w:tcPr>
          <w:p w14:paraId="76330681" w14:textId="77777777" w:rsidR="00FE7569" w:rsidRPr="00047508" w:rsidRDefault="00FE756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Mise en œuvre :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</w:tcMar>
            <w:vAlign w:val="center"/>
          </w:tcPr>
          <w:p w14:paraId="1E8D8491" w14:textId="612B6E8E" w:rsidR="00FE7569" w:rsidRPr="00047508" w:rsidRDefault="00792F75">
            <w:pPr>
              <w:ind w:right="-15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publication sur le site web et dans le document d’interprétation pour SCL 2.0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13" w:type="dxa"/>
            </w:tcMar>
            <w:vAlign w:val="center"/>
          </w:tcPr>
          <w:p w14:paraId="36237256" w14:textId="77777777" w:rsidR="00FE7569" w:rsidRPr="00047508" w:rsidRDefault="00FE756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Date d’entrée en vigueur :</w:t>
            </w:r>
          </w:p>
        </w:tc>
        <w:tc>
          <w:tcPr>
            <w:tcW w:w="2009" w:type="dxa"/>
            <w:tcBorders>
              <w:top w:val="single" w:sz="4" w:space="0" w:color="auto"/>
              <w:bottom w:val="single" w:sz="4" w:space="0" w:color="auto"/>
            </w:tcBorders>
            <w:tcMar>
              <w:top w:w="113" w:type="dxa"/>
            </w:tcMar>
            <w:vAlign w:val="center"/>
          </w:tcPr>
          <w:p w14:paraId="08E627E9" w14:textId="77DD1EBE" w:rsidR="00FE7569" w:rsidRPr="00047508" w:rsidRDefault="00147C9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 xml:space="preserve">immédiatement </w:t>
            </w:r>
          </w:p>
        </w:tc>
      </w:tr>
    </w:tbl>
    <w:p w14:paraId="7EE34978" w14:textId="77777777" w:rsidR="00611D15" w:rsidRDefault="00611D15" w:rsidP="00611D15"/>
    <w:p w14:paraId="084D0785" w14:textId="77777777" w:rsidR="000C371A" w:rsidRPr="007F4010" w:rsidRDefault="000C371A" w:rsidP="000C371A">
      <w:pPr>
        <w:spacing w:after="0"/>
        <w:rPr>
          <w:color w:val="009691"/>
        </w:rPr>
      </w:pPr>
      <w:r>
        <w:rPr>
          <w:color w:val="009691"/>
        </w:rPr>
        <w:t>Contexte ;</w:t>
      </w:r>
    </w:p>
    <w:p w14:paraId="5C8EE075" w14:textId="6B8BE452" w:rsidR="00147C9B" w:rsidRDefault="00E72303" w:rsidP="000503D2">
      <w:pPr>
        <w:spacing w:after="0"/>
      </w:pPr>
      <w:r>
        <w:t>Parmi les auditeurs pour la SCL, une discussion a été engagée sur la façon de pondérer les</w:t>
      </w:r>
      <w:r>
        <w:rPr>
          <w:u w:val="single"/>
        </w:rPr>
        <w:t xml:space="preserve"> sous</w:t>
      </w:r>
      <w:r>
        <w:t xml:space="preserve">-thèmes afin de déterminer l’évaluation d’un thème lors d’un audit SCL. Cela fait suite à la décision du comité du </w:t>
      </w:r>
      <w:proofErr w:type="spellStart"/>
      <w:r>
        <w:t>CdE</w:t>
      </w:r>
      <w:proofErr w:type="spellEnd"/>
      <w:r>
        <w:t xml:space="preserve"> de la SCL de ne rapporter, dans le rapport d’audit, que les thèmes, les divers sous-thèmes devant toutefois être abordés.</w:t>
      </w:r>
    </w:p>
    <w:p w14:paraId="40F827BA" w14:textId="77777777" w:rsidR="00147C9B" w:rsidRDefault="00147C9B" w:rsidP="000503D2">
      <w:pPr>
        <w:spacing w:after="0"/>
      </w:pPr>
    </w:p>
    <w:p w14:paraId="5A5029D9" w14:textId="6192D4C8" w:rsidR="004F5191" w:rsidRDefault="004F5191" w:rsidP="004F5191">
      <w:pPr>
        <w:spacing w:after="0"/>
      </w:pPr>
      <w:r>
        <w:t>Dans le système de certification, les paragraphes 7.8.1 et 7.8.2 stipulent que lors de l'évaluation des Conditions préalables (CP), un thème peut être évalué « orange » et les autres thèmes « verts ». Pour le comportement (C), tous les thèmes doivent ) être jugés « satisfaisants » (verts).</w:t>
      </w:r>
    </w:p>
    <w:p w14:paraId="091F9DED" w14:textId="698080E2" w:rsidR="002D591F" w:rsidRDefault="00A56AAB" w:rsidP="002D591F">
      <w:pPr>
        <w:spacing w:after="0"/>
      </w:pPr>
      <w:r>
        <w:t xml:space="preserve">Chaque thème étant composé de plusieurs </w:t>
      </w:r>
      <w:r>
        <w:rPr>
          <w:u w:val="single"/>
        </w:rPr>
        <w:t>sous-</w:t>
      </w:r>
      <w:r>
        <w:t xml:space="preserve">thèmes (les 5 thèmes comprennent au total 20 </w:t>
      </w:r>
      <w:r>
        <w:rPr>
          <w:u w:val="single"/>
        </w:rPr>
        <w:t>sous-</w:t>
      </w:r>
      <w:r>
        <w:t xml:space="preserve">thèmes), un débat a émergé parmi les auditeurs sur la façon d’évaluer un thème lorsque les appréciations varient entre les </w:t>
      </w:r>
      <w:r>
        <w:rPr>
          <w:u w:val="single"/>
        </w:rPr>
        <w:t>sous</w:t>
      </w:r>
      <w:r>
        <w:t>-thèmes.</w:t>
      </w:r>
    </w:p>
    <w:p w14:paraId="08F7A466" w14:textId="24F59A68" w:rsidR="0014307E" w:rsidRDefault="00F91A9D" w:rsidP="002D591F">
      <w:pPr>
        <w:spacing w:after="0"/>
      </w:pPr>
      <w:r>
        <w:t xml:space="preserve">Les documents actuellement disponibles, tels que le Schéma de certification et l’Explication de la SCL 2.0, n'apportent pas de réponse claire à cette question, alors qu’elle revêt une importance essentielle pour les auditeurs. </w:t>
      </w:r>
    </w:p>
    <w:p w14:paraId="51CF068B" w14:textId="77777777" w:rsidR="00147C9B" w:rsidRDefault="00147C9B" w:rsidP="000503D2">
      <w:pPr>
        <w:spacing w:after="0"/>
      </w:pPr>
    </w:p>
    <w:p w14:paraId="06A78B8A" w14:textId="303CB27B" w:rsidR="00855E99" w:rsidRDefault="00855E99" w:rsidP="000503D2">
      <w:pPr>
        <w:spacing w:after="0"/>
      </w:pPr>
      <w:r>
        <w:t xml:space="preserve">Dans la pratique, la règle suivante est utilisée par les auditeurs de C : </w:t>
      </w:r>
    </w:p>
    <w:p w14:paraId="64333656" w14:textId="72A41A35" w:rsidR="00D955E3" w:rsidRDefault="002B50D3" w:rsidP="000503D2">
      <w:pPr>
        <w:spacing w:after="0"/>
      </w:pPr>
      <w:r>
        <w:t xml:space="preserve">La pondération la plus faible d’un </w:t>
      </w:r>
      <w:r>
        <w:rPr>
          <w:u w:val="single"/>
        </w:rPr>
        <w:t>sous</w:t>
      </w:r>
      <w:r>
        <w:t xml:space="preserve">-thème au sein d’un thème est déterminante pour la pondération de l’ensemble du thème. Ainsi, une estimation « orange » d'un </w:t>
      </w:r>
      <w:r>
        <w:rPr>
          <w:u w:val="single"/>
        </w:rPr>
        <w:t>sous-</w:t>
      </w:r>
      <w:r>
        <w:t>thème (c’est-à-dire que les exigences du thème ne sont remplies que partiellement, malgré des efforts d’amélioration pour obtenir une évaluation satisfaisante) entraîne l'évaluation « orange » de l'ensemble du thème.</w:t>
      </w:r>
    </w:p>
    <w:p w14:paraId="6B36F9C1" w14:textId="02E8D3E2" w:rsidR="008C7DCB" w:rsidRDefault="008C7DCB" w:rsidP="000503D2">
      <w:pPr>
        <w:spacing w:after="0"/>
      </w:pPr>
      <w:r>
        <w:t>Comme cela ne répond pas à l'exigence selon laquelle tous les thèmes doivent être classés « verts », l'organisation ne remplit pas le critère requis pour l’échelon concerné et aucun(e) certificat/déclaration n’est délivré(e).</w:t>
      </w:r>
    </w:p>
    <w:p w14:paraId="2AF3110C" w14:textId="77777777" w:rsidR="00FC59E6" w:rsidRDefault="00FC59E6" w:rsidP="000503D2">
      <w:pPr>
        <w:spacing w:after="0"/>
      </w:pPr>
    </w:p>
    <w:p w14:paraId="5E8548E4" w14:textId="49E86ECC" w:rsidR="00FC59E6" w:rsidRDefault="00FC59E6" w:rsidP="000503D2">
      <w:pPr>
        <w:spacing w:after="0"/>
      </w:pPr>
      <w:r>
        <w:t>L'évaluation des CP pose également problème. Quelle sera l’évaluation finale si plus d'un sous-thème d'un thème obtient la mention « orange » ?</w:t>
      </w:r>
    </w:p>
    <w:p w14:paraId="284B757B" w14:textId="77777777" w:rsidR="00035827" w:rsidRDefault="00035827" w:rsidP="000503D2">
      <w:pPr>
        <w:spacing w:after="0"/>
      </w:pPr>
    </w:p>
    <w:p w14:paraId="3D43F18F" w14:textId="4AB8795E" w:rsidR="00035827" w:rsidRPr="00827ACC" w:rsidRDefault="006D63AF" w:rsidP="000503D2">
      <w:pPr>
        <w:spacing w:after="0"/>
        <w:rPr>
          <w:color w:val="009691"/>
        </w:rPr>
      </w:pPr>
      <w:r>
        <w:rPr>
          <w:color w:val="009691"/>
        </w:rPr>
        <w:t>Prise en considération ;</w:t>
      </w:r>
    </w:p>
    <w:p w14:paraId="1CCEDBC3" w14:textId="77777777" w:rsidR="00694CF7" w:rsidRDefault="00017B43" w:rsidP="000503D2">
      <w:pPr>
        <w:spacing w:after="0"/>
      </w:pPr>
      <w:r>
        <w:t xml:space="preserve">Le </w:t>
      </w:r>
      <w:proofErr w:type="spellStart"/>
      <w:r>
        <w:t>CdE</w:t>
      </w:r>
      <w:proofErr w:type="spellEnd"/>
      <w:r>
        <w:t xml:space="preserve"> a pris connaissance des informations de fond plus détaillées, telles que mentionnées dans le document N 171. Le </w:t>
      </w:r>
      <w:proofErr w:type="spellStart"/>
      <w:r>
        <w:t>CdE</w:t>
      </w:r>
      <w:proofErr w:type="spellEnd"/>
      <w:r>
        <w:t xml:space="preserve"> estime ;</w:t>
      </w:r>
    </w:p>
    <w:p w14:paraId="1821EB9E" w14:textId="589DBB95" w:rsidR="0013641A" w:rsidRDefault="0013641A" w:rsidP="00694CF7">
      <w:pPr>
        <w:pStyle w:val="Lijstalinea"/>
        <w:numPr>
          <w:ilvl w:val="0"/>
          <w:numId w:val="11"/>
        </w:numPr>
        <w:spacing w:after="0"/>
      </w:pPr>
      <w:r>
        <w:t>que l’impression de l’auditeur est déterminante.</w:t>
      </w:r>
    </w:p>
    <w:p w14:paraId="7CE07CD1" w14:textId="2E0886A3" w:rsidR="008C55A4" w:rsidRDefault="00F870D3" w:rsidP="00694CF7">
      <w:pPr>
        <w:pStyle w:val="Lijstalinea"/>
        <w:numPr>
          <w:ilvl w:val="0"/>
          <w:numId w:val="11"/>
        </w:numPr>
        <w:spacing w:after="0"/>
      </w:pPr>
      <w:r>
        <w:t>que la situation pratique décrite ci-dessus n'est pas conforme au texte normatif, pour ce qui relève de l’expression « dans une mesure suffisante » (vert).</w:t>
      </w:r>
    </w:p>
    <w:p w14:paraId="521B1B3F" w14:textId="7DD993BF" w:rsidR="203F0A97" w:rsidRDefault="00F12868" w:rsidP="3BD17AB1">
      <w:pPr>
        <w:pStyle w:val="Lijstalinea"/>
        <w:numPr>
          <w:ilvl w:val="0"/>
          <w:numId w:val="11"/>
        </w:numPr>
        <w:spacing w:after="0"/>
      </w:pPr>
      <w:r>
        <w:lastRenderedPageBreak/>
        <w:t xml:space="preserve">que lors de l'évaluation d'un thème, aussi bien en matière de CP que C, il convient de partir du principe que l’« impression générale » observée correspond, dans une mesure suffisante, au niveau requis de l’échelon. Les nuances suivantes s'appliquent ici : </w:t>
      </w:r>
    </w:p>
    <w:p w14:paraId="3A153311" w14:textId="324F3021" w:rsidR="00F66F9B" w:rsidRDefault="008C55A4" w:rsidP="00BF6F01">
      <w:pPr>
        <w:pStyle w:val="Lijstalinea"/>
        <w:numPr>
          <w:ilvl w:val="1"/>
          <w:numId w:val="11"/>
        </w:numPr>
        <w:spacing w:after="0"/>
        <w:ind w:left="709" w:hanging="283"/>
      </w:pPr>
      <w:r>
        <w:t xml:space="preserve">une organisation doit pouvoir démontrer qu’elle travaille sur un </w:t>
      </w:r>
      <w:r>
        <w:rPr>
          <w:u w:val="single"/>
        </w:rPr>
        <w:t>sous</w:t>
      </w:r>
      <w:r>
        <w:t>-thème en matière de conditions préalables et de comportement, avec une mention « orange » (c’est-à-dire que les exigences du thème ne sont remplies que partiellement, malgré des efforts d’amélioration pour obtenir une évaluation satisfaisante), sans subir de « pénalité » à cet effet.</w:t>
      </w:r>
    </w:p>
    <w:p w14:paraId="176A2F55" w14:textId="339696A2" w:rsidR="00AD3BCB" w:rsidRDefault="00F9492E" w:rsidP="00BF6F01">
      <w:pPr>
        <w:pStyle w:val="Lijstalinea"/>
        <w:numPr>
          <w:ilvl w:val="1"/>
          <w:numId w:val="11"/>
        </w:numPr>
        <w:spacing w:after="0"/>
        <w:ind w:left="709" w:hanging="283"/>
      </w:pPr>
      <w:r>
        <w:t>que dans le domaine des conditions préalables, il est permis qu’un sous-thème soit évalué « orange » pour chaque thème, sans que cela entraîne automatiquement une évaluation « orange » pour le thème.</w:t>
      </w:r>
    </w:p>
    <w:p w14:paraId="64A6D5D8" w14:textId="0EA5D4C0" w:rsidR="009A1A65" w:rsidRDefault="00E518D8" w:rsidP="00BF6F01">
      <w:pPr>
        <w:pStyle w:val="Lijstalinea"/>
        <w:numPr>
          <w:ilvl w:val="1"/>
          <w:numId w:val="11"/>
        </w:numPr>
        <w:spacing w:after="0"/>
        <w:ind w:left="709" w:hanging="283"/>
      </w:pPr>
      <w:r>
        <w:t xml:space="preserve">que dans le domaine des conditions préalables, une évaluation « orange » pour deux sous-thèmes ou plus, au sein du même thème, entraîne une évaluation « orange » du thème. </w:t>
      </w:r>
    </w:p>
    <w:p w14:paraId="3E7ADFA9" w14:textId="094A8C3F" w:rsidR="000503D2" w:rsidRDefault="00E6511C" w:rsidP="00BF6F01">
      <w:pPr>
        <w:pStyle w:val="Lijstalinea"/>
        <w:numPr>
          <w:ilvl w:val="1"/>
          <w:numId w:val="11"/>
        </w:numPr>
        <w:spacing w:after="0"/>
        <w:ind w:left="709" w:hanging="283"/>
      </w:pPr>
      <w:r>
        <w:t xml:space="preserve">que dans le domaine du comportement, il est permis qu’un </w:t>
      </w:r>
      <w:r>
        <w:rPr>
          <w:u w:val="single"/>
        </w:rPr>
        <w:t>sous</w:t>
      </w:r>
      <w:r>
        <w:t>-thème soit évalué « orange » pour chaque thème, sans que cela entraîne automatiquement une évaluation « orange » pour le thème.</w:t>
      </w:r>
    </w:p>
    <w:p w14:paraId="2F8A2CEE" w14:textId="44B25BDD" w:rsidR="00781BC2" w:rsidRDefault="00781BC2" w:rsidP="00BF6F01">
      <w:pPr>
        <w:pStyle w:val="Lijstalinea"/>
        <w:numPr>
          <w:ilvl w:val="1"/>
          <w:numId w:val="11"/>
        </w:numPr>
        <w:spacing w:after="0"/>
        <w:ind w:left="709" w:hanging="283"/>
      </w:pPr>
      <w:r>
        <w:t>que dans le domaine du comportement, une mention « orange » sur un 2</w:t>
      </w:r>
      <w:r>
        <w:rPr>
          <w:vertAlign w:val="superscript"/>
        </w:rPr>
        <w:t>e</w:t>
      </w:r>
      <w:r>
        <w:t xml:space="preserve"> sous-thème entraîne l’évaluation « orange » du thème concerné, démontrant ainsi que le critère requis n’est pas respecté.</w:t>
      </w:r>
    </w:p>
    <w:p w14:paraId="4599386A" w14:textId="03CD9C0A" w:rsidR="00F4485D" w:rsidRDefault="00A238E8" w:rsidP="00BF6F01">
      <w:pPr>
        <w:pStyle w:val="Lijstalinea"/>
        <w:numPr>
          <w:ilvl w:val="1"/>
          <w:numId w:val="11"/>
        </w:numPr>
        <w:spacing w:after="0"/>
        <w:ind w:left="709" w:hanging="283"/>
      </w:pPr>
      <w:r>
        <w:t xml:space="preserve">que, dans le domaine du comportement, la mention « rouge » d’un </w:t>
      </w:r>
      <w:r>
        <w:rPr>
          <w:u w:val="single"/>
        </w:rPr>
        <w:t>sous</w:t>
      </w:r>
      <w:r>
        <w:t>-thème entraîne automatiquement l’évaluation « rouge » du thème, ce qui démontre immédiatement que le critère requis n’est pas respecté (tous les thèmes doivent être évalués « verts »).</w:t>
      </w:r>
    </w:p>
    <w:p w14:paraId="5078FDCE" w14:textId="77397C70" w:rsidR="007171C9" w:rsidRPr="00216FB0" w:rsidRDefault="004B52F4" w:rsidP="00BF6F01">
      <w:pPr>
        <w:pStyle w:val="Lijstalinea"/>
        <w:numPr>
          <w:ilvl w:val="1"/>
          <w:numId w:val="11"/>
        </w:numPr>
        <w:spacing w:after="0"/>
        <w:ind w:left="709" w:hanging="283"/>
      </w:pPr>
      <w:r>
        <w:t xml:space="preserve">pour une certification SCL Light et SCL Light pour les petites organisations, les organisations doivent indiquer chaque année quels comportements efficaces elles souhaitent mettre en place pour l’année suivante. </w:t>
      </w:r>
    </w:p>
    <w:p w14:paraId="737789BD" w14:textId="0BE83CE0" w:rsidR="007171C9" w:rsidRPr="00216FB0" w:rsidRDefault="007171C9" w:rsidP="00BF6F01">
      <w:pPr>
        <w:pStyle w:val="Lijstalinea"/>
        <w:spacing w:after="0"/>
        <w:ind w:left="709" w:hanging="283"/>
      </w:pPr>
      <w:r>
        <w:t>Si une organisation obtient une mention orange pour un sous-thème d’une certification SCL Light et SCL Light pour les petites organisations, elle doit définir un objectif visant à modifier le comportement à atteindre pour ce sous-thème. Lors de l'audit de suivi, le changement de comportement doit être évalué.</w:t>
      </w:r>
    </w:p>
    <w:p w14:paraId="60F5FEAD" w14:textId="77777777" w:rsidR="007B60E8" w:rsidRDefault="007B60E8" w:rsidP="000C371A">
      <w:pPr>
        <w:spacing w:after="0"/>
        <w:rPr>
          <w:color w:val="009691"/>
        </w:rPr>
      </w:pPr>
    </w:p>
    <w:p w14:paraId="7CF392E8" w14:textId="3F19EF16" w:rsidR="000C371A" w:rsidRPr="00A46721" w:rsidRDefault="000C371A" w:rsidP="000C371A">
      <w:pPr>
        <w:spacing w:after="0"/>
        <w:rPr>
          <w:color w:val="009691"/>
        </w:rPr>
      </w:pPr>
      <w:r>
        <w:rPr>
          <w:color w:val="009691"/>
        </w:rPr>
        <w:t>Décision :</w:t>
      </w:r>
    </w:p>
    <w:p w14:paraId="2757C3FF" w14:textId="528E5C14" w:rsidR="000C371A" w:rsidRDefault="000C371A" w:rsidP="000C371A">
      <w:pPr>
        <w:spacing w:after="0"/>
      </w:pPr>
      <w:r>
        <w:t xml:space="preserve">Le </w:t>
      </w:r>
      <w:proofErr w:type="spellStart"/>
      <w:r>
        <w:t>CdE</w:t>
      </w:r>
      <w:proofErr w:type="spellEnd"/>
      <w:r>
        <w:t xml:space="preserve"> de la SCL a pris les décisions suivantes :</w:t>
      </w:r>
    </w:p>
    <w:p w14:paraId="4BC8ABE5" w14:textId="737FF53D" w:rsidR="0013641A" w:rsidRDefault="0013641A" w:rsidP="3BD17AB1">
      <w:pPr>
        <w:pStyle w:val="Lijstalinea"/>
        <w:numPr>
          <w:ilvl w:val="0"/>
          <w:numId w:val="12"/>
        </w:numPr>
        <w:spacing w:after="0"/>
      </w:pPr>
      <w:r>
        <w:t>l’impression de l’auditeur est déterminante.</w:t>
      </w:r>
    </w:p>
    <w:p w14:paraId="126C3D50" w14:textId="2235084F" w:rsidR="58666227" w:rsidRDefault="58666227" w:rsidP="3BD17AB1">
      <w:pPr>
        <w:pStyle w:val="Lijstalinea"/>
        <w:numPr>
          <w:ilvl w:val="0"/>
          <w:numId w:val="12"/>
        </w:numPr>
        <w:spacing w:after="0"/>
      </w:pPr>
      <w:r>
        <w:t>Le principe de base est que l’impression générale d’un thème doit correspondre au niveau d’échelon souhaité.</w:t>
      </w:r>
    </w:p>
    <w:p w14:paraId="2EA3E01F" w14:textId="58F9F61D" w:rsidR="58666227" w:rsidRDefault="58666227" w:rsidP="3BD17AB1">
      <w:pPr>
        <w:pStyle w:val="Lijstalinea"/>
        <w:numPr>
          <w:ilvl w:val="0"/>
          <w:numId w:val="12"/>
        </w:numPr>
        <w:spacing w:after="0"/>
      </w:pPr>
      <w:r>
        <w:t>Les conditions préalables suivantes s'appliquent ici :</w:t>
      </w:r>
    </w:p>
    <w:p w14:paraId="3974D520" w14:textId="524E6C36" w:rsidR="00D67EFA" w:rsidRDefault="00E91BE6" w:rsidP="3BD17AB1">
      <w:pPr>
        <w:pStyle w:val="Lijstalinea"/>
        <w:numPr>
          <w:ilvl w:val="1"/>
          <w:numId w:val="12"/>
        </w:numPr>
        <w:spacing w:after="0"/>
      </w:pPr>
      <w:r>
        <w:t xml:space="preserve">Lors d’un audit SCL, une organisation doit pouvoir démontrer qu’elle travaille sur un </w:t>
      </w:r>
      <w:r>
        <w:rPr>
          <w:u w:val="single"/>
        </w:rPr>
        <w:t>sous</w:t>
      </w:r>
      <w:r>
        <w:t xml:space="preserve">-thème en matière de conditions préalables et de comportement, avec une mention « orange » (c’est-à-dire que les exigences du thème ne sont remplies que partiellement, malgré des efforts d’amélioration pour obtenir une évaluation satisfaisante), sans subir de « pénalité » à cet effet. </w:t>
      </w:r>
    </w:p>
    <w:p w14:paraId="010D0853" w14:textId="492B41F9" w:rsidR="00666DBF" w:rsidRDefault="000B2AF7" w:rsidP="00666DBF">
      <w:pPr>
        <w:pStyle w:val="Lijstalinea"/>
        <w:numPr>
          <w:ilvl w:val="1"/>
          <w:numId w:val="12"/>
        </w:numPr>
        <w:spacing w:after="0"/>
      </w:pPr>
      <w:r>
        <w:t>dans le domaine des conditions préalables, il est permis qu’un sous-thème soit évalué « orange » pour chaque thème, sans que cela entraîne automatiquement une évaluation « orange » pour le thème.</w:t>
      </w:r>
    </w:p>
    <w:p w14:paraId="5B5C4E16" w14:textId="3E7A21B6" w:rsidR="00666DBF" w:rsidRDefault="000B2AF7" w:rsidP="00666DBF">
      <w:pPr>
        <w:pStyle w:val="Lijstalinea"/>
        <w:numPr>
          <w:ilvl w:val="1"/>
          <w:numId w:val="12"/>
        </w:numPr>
        <w:spacing w:after="0"/>
      </w:pPr>
      <w:r>
        <w:t xml:space="preserve">dans le domaine des conditions préalables, une évaluation « orange » pour deux sous-thèmes ou plus, au sein du même thème, entraîne une évaluation « orange » du thème. </w:t>
      </w:r>
    </w:p>
    <w:p w14:paraId="5E109DAE" w14:textId="7E5C63FD" w:rsidR="008F3C7B" w:rsidRDefault="00315998" w:rsidP="00CC7955">
      <w:pPr>
        <w:pStyle w:val="Lijstalinea"/>
        <w:numPr>
          <w:ilvl w:val="1"/>
          <w:numId w:val="12"/>
        </w:numPr>
        <w:spacing w:after="0"/>
        <w:ind w:left="1077" w:hanging="357"/>
      </w:pPr>
      <w:r>
        <w:lastRenderedPageBreak/>
        <w:t xml:space="preserve">dans le domaine du comportement, il est permis qu’un </w:t>
      </w:r>
      <w:r>
        <w:rPr>
          <w:u w:val="single"/>
        </w:rPr>
        <w:t>sous</w:t>
      </w:r>
      <w:r>
        <w:t>-thème soit évalué « orange » pour chaque thème, sans que cela entraîne automatiquement une évaluation « orange » pour le thème.</w:t>
      </w:r>
    </w:p>
    <w:p w14:paraId="1979A2F9" w14:textId="47813324" w:rsidR="008302E4" w:rsidRDefault="001156E0" w:rsidP="00361AF8">
      <w:pPr>
        <w:pStyle w:val="Lijstalinea"/>
        <w:spacing w:after="0"/>
        <w:ind w:left="1080"/>
      </w:pPr>
      <w:r>
        <w:t xml:space="preserve">dans le domaine du comportement, la mention « rouge » d’un </w:t>
      </w:r>
      <w:r>
        <w:rPr>
          <w:u w:val="single"/>
        </w:rPr>
        <w:t>sous</w:t>
      </w:r>
      <w:r>
        <w:t>-thème entraîne automatiquement l’évaluation « rouge » du thème, ce qui démontre immédiatement que le critère requis n’est pas respecté (tous les thèmes doivent être évalués « verts »).</w:t>
      </w:r>
    </w:p>
    <w:p w14:paraId="7F64E3BE" w14:textId="4202D8D8" w:rsidR="004E435A" w:rsidRDefault="004E435A" w:rsidP="004E435A">
      <w:pPr>
        <w:pStyle w:val="Lijstalinea"/>
        <w:spacing w:after="0"/>
        <w:ind w:left="1080" w:hanging="371"/>
      </w:pPr>
      <w:r>
        <w:t>dans le domaine du comportement, une mention « orange » sur un 2</w:t>
      </w:r>
      <w:r>
        <w:rPr>
          <w:vertAlign w:val="superscript"/>
        </w:rPr>
        <w:t>e</w:t>
      </w:r>
      <w:r>
        <w:t xml:space="preserve"> sous-thème entraîne l’évaluation « orange » du thème concerné, démontrant ainsi que le critère requis n’est pas respecté.</w:t>
      </w:r>
    </w:p>
    <w:p w14:paraId="79A6A63C" w14:textId="7587DA03" w:rsidR="00CC7955" w:rsidRPr="00216FB0" w:rsidRDefault="00CC7955" w:rsidP="00CC7955">
      <w:pPr>
        <w:pStyle w:val="Lijstalinea"/>
        <w:spacing w:after="0"/>
        <w:ind w:left="1066" w:hanging="357"/>
      </w:pPr>
      <w:r>
        <w:t xml:space="preserve">pour une certification SCL Light et SCL Light pour les petites organisations, les organisations doivent indiquer chaque année quels comportements efficaces elles souhaitent mettre en place pour l’année suivante. </w:t>
      </w:r>
    </w:p>
    <w:p w14:paraId="24838BCF" w14:textId="094440D7" w:rsidR="00CC7955" w:rsidRPr="00216FB0" w:rsidRDefault="00CC7955" w:rsidP="00CC7955">
      <w:pPr>
        <w:pStyle w:val="Lijstalinea"/>
        <w:spacing w:after="0"/>
        <w:ind w:left="1080"/>
      </w:pPr>
      <w:r>
        <w:t>Si une organisation obtient une mention orange pour un sous-thème d’une certification de SCL Light et SCL Light pour les petites organisations, elle doit définir un objectif visant à modifier le comportement à atteindre pour ce sous-thème. Lors de l'audit de suivi, le changement de comportement doit être évalué.</w:t>
      </w:r>
    </w:p>
    <w:p w14:paraId="44EBA7B8" w14:textId="77777777" w:rsidR="00935FE3" w:rsidRDefault="00935FE3" w:rsidP="000C371A">
      <w:pPr>
        <w:spacing w:after="0"/>
      </w:pPr>
    </w:p>
    <w:p w14:paraId="339DF221" w14:textId="77777777" w:rsidR="00935FE3" w:rsidRDefault="00935FE3" w:rsidP="000C371A">
      <w:pPr>
        <w:spacing w:after="0"/>
      </w:pPr>
    </w:p>
    <w:p w14:paraId="4538DA46" w14:textId="77777777" w:rsidR="00935FE3" w:rsidRDefault="00935FE3" w:rsidP="000C371A">
      <w:pPr>
        <w:spacing w:after="0"/>
      </w:pPr>
    </w:p>
    <w:p w14:paraId="62DA24AF" w14:textId="77777777" w:rsidR="00935FE3" w:rsidRDefault="00935FE3" w:rsidP="000C371A">
      <w:pPr>
        <w:spacing w:after="0"/>
      </w:pPr>
    </w:p>
    <w:p w14:paraId="4DACC024" w14:textId="746579CC" w:rsidR="00BA1167" w:rsidRDefault="00BA1167"/>
    <w:sectPr w:rsidR="00BA116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B9EC6" w14:textId="77777777" w:rsidR="00357D72" w:rsidRDefault="00357D72" w:rsidP="00631320">
      <w:pPr>
        <w:spacing w:after="0" w:line="240" w:lineRule="auto"/>
      </w:pPr>
      <w:r>
        <w:separator/>
      </w:r>
    </w:p>
  </w:endnote>
  <w:endnote w:type="continuationSeparator" w:id="0">
    <w:p w14:paraId="44CAEF41" w14:textId="77777777" w:rsidR="00357D72" w:rsidRDefault="00357D72" w:rsidP="00631320">
      <w:pPr>
        <w:spacing w:after="0" w:line="240" w:lineRule="auto"/>
      </w:pPr>
      <w:r>
        <w:continuationSeparator/>
      </w:r>
    </w:p>
  </w:endnote>
  <w:endnote w:type="continuationNotice" w:id="1">
    <w:p w14:paraId="7499A965" w14:textId="77777777" w:rsidR="00357D72" w:rsidRDefault="00357D7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7FBD7" w14:textId="77777777" w:rsidR="00357D72" w:rsidRDefault="00357D72" w:rsidP="00631320">
      <w:pPr>
        <w:spacing w:after="0" w:line="240" w:lineRule="auto"/>
      </w:pPr>
      <w:r>
        <w:separator/>
      </w:r>
    </w:p>
  </w:footnote>
  <w:footnote w:type="continuationSeparator" w:id="0">
    <w:p w14:paraId="402E6309" w14:textId="77777777" w:rsidR="00357D72" w:rsidRDefault="00357D72" w:rsidP="00631320">
      <w:pPr>
        <w:spacing w:after="0" w:line="240" w:lineRule="auto"/>
      </w:pPr>
      <w:r>
        <w:continuationSeparator/>
      </w:r>
    </w:p>
  </w:footnote>
  <w:footnote w:type="continuationNotice" w:id="1">
    <w:p w14:paraId="0C39FB3E" w14:textId="77777777" w:rsidR="00357D72" w:rsidRDefault="00357D7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38647" w14:textId="5C8ADA84" w:rsidR="00631320" w:rsidRDefault="00631320" w:rsidP="00631320">
    <w:pPr>
      <w:pStyle w:val="Koptekst"/>
      <w:jc w:val="right"/>
    </w:pPr>
    <w:r>
      <w:rPr>
        <w:noProof/>
      </w:rPr>
      <w:drawing>
        <wp:inline distT="0" distB="0" distL="0" distR="0" wp14:anchorId="55EDE028" wp14:editId="21BD2F15">
          <wp:extent cx="2971800" cy="298450"/>
          <wp:effectExtent l="0" t="0" r="0" b="6350"/>
          <wp:docPr id="109689580" name="Afbeelding 1" descr="Afbeelding met schermopname, Graphics, Lettertype, ontwerp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689580" name="Afbeelding 1" descr="Afbeelding met schermopname, Graphics, Lettertype, ontwerp&#10;&#10;Automatisch gegenereerde beschrijving"/>
                  <pic:cNvPicPr>
                    <a:picLocks noChangeAspect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71800" cy="298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60D6F"/>
    <w:multiLevelType w:val="hybridMultilevel"/>
    <w:tmpl w:val="F7CC099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A2AB8"/>
    <w:multiLevelType w:val="hybridMultilevel"/>
    <w:tmpl w:val="6C8E0A9E"/>
    <w:lvl w:ilvl="0" w:tplc="63A87B5E">
      <w:numFmt w:val="bullet"/>
      <w:lvlText w:val="-"/>
      <w:lvlJc w:val="left"/>
      <w:pPr>
        <w:ind w:left="786" w:hanging="360"/>
      </w:pPr>
      <w:rPr>
        <w:rFonts w:ascii="Aptos" w:eastAsiaTheme="minorHAnsi" w:hAnsi="Apto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168932B6"/>
    <w:multiLevelType w:val="hybridMultilevel"/>
    <w:tmpl w:val="42C619C2"/>
    <w:lvl w:ilvl="0" w:tplc="1758F89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99222E"/>
    <w:multiLevelType w:val="hybridMultilevel"/>
    <w:tmpl w:val="F7CC099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5C2FDB"/>
    <w:multiLevelType w:val="hybridMultilevel"/>
    <w:tmpl w:val="785E396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A571957"/>
    <w:multiLevelType w:val="hybridMultilevel"/>
    <w:tmpl w:val="BE72C53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B40AA5"/>
    <w:multiLevelType w:val="hybridMultilevel"/>
    <w:tmpl w:val="35FC83B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4EB1D33"/>
    <w:multiLevelType w:val="hybridMultilevel"/>
    <w:tmpl w:val="D326ECD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3D756E"/>
    <w:multiLevelType w:val="hybridMultilevel"/>
    <w:tmpl w:val="B900B93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4CB2AFC"/>
    <w:multiLevelType w:val="hybridMultilevel"/>
    <w:tmpl w:val="7920326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E1B4606"/>
    <w:multiLevelType w:val="hybridMultilevel"/>
    <w:tmpl w:val="53263164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EC03FF"/>
    <w:multiLevelType w:val="hybridMultilevel"/>
    <w:tmpl w:val="5B1233A0"/>
    <w:lvl w:ilvl="0" w:tplc="1D02348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782189500">
    <w:abstractNumId w:val="7"/>
  </w:num>
  <w:num w:numId="2" w16cid:durableId="104277141">
    <w:abstractNumId w:val="5"/>
  </w:num>
  <w:num w:numId="3" w16cid:durableId="2037346317">
    <w:abstractNumId w:val="10"/>
  </w:num>
  <w:num w:numId="4" w16cid:durableId="1206602690">
    <w:abstractNumId w:val="2"/>
  </w:num>
  <w:num w:numId="5" w16cid:durableId="853419595">
    <w:abstractNumId w:val="1"/>
  </w:num>
  <w:num w:numId="6" w16cid:durableId="90786768">
    <w:abstractNumId w:val="4"/>
  </w:num>
  <w:num w:numId="7" w16cid:durableId="839737575">
    <w:abstractNumId w:val="8"/>
  </w:num>
  <w:num w:numId="8" w16cid:durableId="1790929813">
    <w:abstractNumId w:val="0"/>
  </w:num>
  <w:num w:numId="9" w16cid:durableId="2145347354">
    <w:abstractNumId w:val="11"/>
  </w:num>
  <w:num w:numId="10" w16cid:durableId="1896039743">
    <w:abstractNumId w:val="3"/>
  </w:num>
  <w:num w:numId="11" w16cid:durableId="83693449">
    <w:abstractNumId w:val="6"/>
  </w:num>
  <w:num w:numId="12" w16cid:durableId="7414161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4C10"/>
    <w:rsid w:val="00000E1F"/>
    <w:rsid w:val="0000187D"/>
    <w:rsid w:val="00007C07"/>
    <w:rsid w:val="00013CDB"/>
    <w:rsid w:val="00015655"/>
    <w:rsid w:val="00015D4E"/>
    <w:rsid w:val="00017B43"/>
    <w:rsid w:val="00020E1A"/>
    <w:rsid w:val="000218F0"/>
    <w:rsid w:val="000320B2"/>
    <w:rsid w:val="00035827"/>
    <w:rsid w:val="00041A42"/>
    <w:rsid w:val="00044902"/>
    <w:rsid w:val="00047B46"/>
    <w:rsid w:val="000503D2"/>
    <w:rsid w:val="000545F1"/>
    <w:rsid w:val="000560FB"/>
    <w:rsid w:val="00061310"/>
    <w:rsid w:val="000B132E"/>
    <w:rsid w:val="000B2073"/>
    <w:rsid w:val="000B2AF7"/>
    <w:rsid w:val="000B4B63"/>
    <w:rsid w:val="000C371A"/>
    <w:rsid w:val="000C6DDF"/>
    <w:rsid w:val="000C73EA"/>
    <w:rsid w:val="000D75BF"/>
    <w:rsid w:val="000F61F1"/>
    <w:rsid w:val="0010744E"/>
    <w:rsid w:val="001156E0"/>
    <w:rsid w:val="00117938"/>
    <w:rsid w:val="00117EF6"/>
    <w:rsid w:val="00121CF4"/>
    <w:rsid w:val="00124E94"/>
    <w:rsid w:val="00133C84"/>
    <w:rsid w:val="001358B8"/>
    <w:rsid w:val="0013641A"/>
    <w:rsid w:val="001365BE"/>
    <w:rsid w:val="001375DA"/>
    <w:rsid w:val="0014307E"/>
    <w:rsid w:val="00145091"/>
    <w:rsid w:val="00147C9B"/>
    <w:rsid w:val="001551BA"/>
    <w:rsid w:val="0016140C"/>
    <w:rsid w:val="001639EB"/>
    <w:rsid w:val="00174C9C"/>
    <w:rsid w:val="00175B5D"/>
    <w:rsid w:val="00183A08"/>
    <w:rsid w:val="0019376A"/>
    <w:rsid w:val="00194D09"/>
    <w:rsid w:val="001A39B8"/>
    <w:rsid w:val="001B0B8C"/>
    <w:rsid w:val="001B3836"/>
    <w:rsid w:val="001C5557"/>
    <w:rsid w:val="001C7FD3"/>
    <w:rsid w:val="001D6B7B"/>
    <w:rsid w:val="001D701D"/>
    <w:rsid w:val="001E10F1"/>
    <w:rsid w:val="001E52DF"/>
    <w:rsid w:val="002007E8"/>
    <w:rsid w:val="00210D80"/>
    <w:rsid w:val="00213F52"/>
    <w:rsid w:val="00216FB0"/>
    <w:rsid w:val="00221F15"/>
    <w:rsid w:val="00230B10"/>
    <w:rsid w:val="002333F9"/>
    <w:rsid w:val="00242995"/>
    <w:rsid w:val="002469AD"/>
    <w:rsid w:val="00247324"/>
    <w:rsid w:val="00251DCC"/>
    <w:rsid w:val="0026568A"/>
    <w:rsid w:val="002715C6"/>
    <w:rsid w:val="002747F2"/>
    <w:rsid w:val="0027583E"/>
    <w:rsid w:val="00281DB5"/>
    <w:rsid w:val="00297169"/>
    <w:rsid w:val="002A5033"/>
    <w:rsid w:val="002B1DF1"/>
    <w:rsid w:val="002B2523"/>
    <w:rsid w:val="002B4145"/>
    <w:rsid w:val="002B50D3"/>
    <w:rsid w:val="002D1AA3"/>
    <w:rsid w:val="002D2FFF"/>
    <w:rsid w:val="002D4399"/>
    <w:rsid w:val="002D591F"/>
    <w:rsid w:val="002D67A9"/>
    <w:rsid w:val="002E4D51"/>
    <w:rsid w:val="002E65CF"/>
    <w:rsid w:val="002F79B3"/>
    <w:rsid w:val="0030016C"/>
    <w:rsid w:val="00301D93"/>
    <w:rsid w:val="003130DA"/>
    <w:rsid w:val="00314EC2"/>
    <w:rsid w:val="00315998"/>
    <w:rsid w:val="00316648"/>
    <w:rsid w:val="00317516"/>
    <w:rsid w:val="00320E94"/>
    <w:rsid w:val="00332E2B"/>
    <w:rsid w:val="0034176D"/>
    <w:rsid w:val="00344D9F"/>
    <w:rsid w:val="00346F09"/>
    <w:rsid w:val="003478C3"/>
    <w:rsid w:val="00350762"/>
    <w:rsid w:val="00355461"/>
    <w:rsid w:val="00357338"/>
    <w:rsid w:val="00357D72"/>
    <w:rsid w:val="00360B17"/>
    <w:rsid w:val="00361AF8"/>
    <w:rsid w:val="003678D8"/>
    <w:rsid w:val="003871A7"/>
    <w:rsid w:val="00395069"/>
    <w:rsid w:val="003A19BF"/>
    <w:rsid w:val="003A20F3"/>
    <w:rsid w:val="003A2ECC"/>
    <w:rsid w:val="003B5DFC"/>
    <w:rsid w:val="003C43F6"/>
    <w:rsid w:val="003D3E08"/>
    <w:rsid w:val="003E3246"/>
    <w:rsid w:val="003E79FC"/>
    <w:rsid w:val="003F7375"/>
    <w:rsid w:val="0040197C"/>
    <w:rsid w:val="00401CA2"/>
    <w:rsid w:val="00405BBE"/>
    <w:rsid w:val="00407A28"/>
    <w:rsid w:val="0041412B"/>
    <w:rsid w:val="0041738F"/>
    <w:rsid w:val="0043312F"/>
    <w:rsid w:val="004530B7"/>
    <w:rsid w:val="00466E3F"/>
    <w:rsid w:val="004902D0"/>
    <w:rsid w:val="00491C7F"/>
    <w:rsid w:val="004A19B6"/>
    <w:rsid w:val="004A3564"/>
    <w:rsid w:val="004A6B38"/>
    <w:rsid w:val="004B2893"/>
    <w:rsid w:val="004B52F4"/>
    <w:rsid w:val="004D1758"/>
    <w:rsid w:val="004E435A"/>
    <w:rsid w:val="004E7A52"/>
    <w:rsid w:val="004F0485"/>
    <w:rsid w:val="004F5191"/>
    <w:rsid w:val="004F5D5E"/>
    <w:rsid w:val="004F6AF1"/>
    <w:rsid w:val="00502AA1"/>
    <w:rsid w:val="005052E9"/>
    <w:rsid w:val="00507F4D"/>
    <w:rsid w:val="00513BAB"/>
    <w:rsid w:val="0052054E"/>
    <w:rsid w:val="00523006"/>
    <w:rsid w:val="00523D9B"/>
    <w:rsid w:val="00525EF5"/>
    <w:rsid w:val="005303C3"/>
    <w:rsid w:val="00532FE7"/>
    <w:rsid w:val="005337D6"/>
    <w:rsid w:val="00536187"/>
    <w:rsid w:val="00563101"/>
    <w:rsid w:val="00566857"/>
    <w:rsid w:val="00567508"/>
    <w:rsid w:val="005738C7"/>
    <w:rsid w:val="00575CDD"/>
    <w:rsid w:val="00576960"/>
    <w:rsid w:val="00577C9B"/>
    <w:rsid w:val="00594A2C"/>
    <w:rsid w:val="005A74F9"/>
    <w:rsid w:val="005B0F5D"/>
    <w:rsid w:val="005B3684"/>
    <w:rsid w:val="005B4D69"/>
    <w:rsid w:val="005C2119"/>
    <w:rsid w:val="005C2562"/>
    <w:rsid w:val="005C490B"/>
    <w:rsid w:val="005D428D"/>
    <w:rsid w:val="005D7C7D"/>
    <w:rsid w:val="005D7D7F"/>
    <w:rsid w:val="005E0D9A"/>
    <w:rsid w:val="005E410B"/>
    <w:rsid w:val="005E5DDE"/>
    <w:rsid w:val="005E7289"/>
    <w:rsid w:val="005F2BAF"/>
    <w:rsid w:val="005F63BA"/>
    <w:rsid w:val="005F7362"/>
    <w:rsid w:val="00605461"/>
    <w:rsid w:val="00610AB0"/>
    <w:rsid w:val="00611D15"/>
    <w:rsid w:val="00612FB8"/>
    <w:rsid w:val="00623F54"/>
    <w:rsid w:val="00624AA8"/>
    <w:rsid w:val="00624EE4"/>
    <w:rsid w:val="00631320"/>
    <w:rsid w:val="006335F1"/>
    <w:rsid w:val="006375EB"/>
    <w:rsid w:val="00640614"/>
    <w:rsid w:val="0065785F"/>
    <w:rsid w:val="006635C5"/>
    <w:rsid w:val="00666DBF"/>
    <w:rsid w:val="00690C43"/>
    <w:rsid w:val="00694CF7"/>
    <w:rsid w:val="0069574A"/>
    <w:rsid w:val="00695F1D"/>
    <w:rsid w:val="006B156E"/>
    <w:rsid w:val="006D40BA"/>
    <w:rsid w:val="006D63AF"/>
    <w:rsid w:val="006E0C6E"/>
    <w:rsid w:val="006E77A4"/>
    <w:rsid w:val="006F5D74"/>
    <w:rsid w:val="00701132"/>
    <w:rsid w:val="00716F56"/>
    <w:rsid w:val="007171C9"/>
    <w:rsid w:val="00726712"/>
    <w:rsid w:val="00727A19"/>
    <w:rsid w:val="0074606D"/>
    <w:rsid w:val="007470EE"/>
    <w:rsid w:val="00747DC3"/>
    <w:rsid w:val="00757A7C"/>
    <w:rsid w:val="007643FD"/>
    <w:rsid w:val="00781BC2"/>
    <w:rsid w:val="00792F75"/>
    <w:rsid w:val="007A6C06"/>
    <w:rsid w:val="007A757A"/>
    <w:rsid w:val="007B00BA"/>
    <w:rsid w:val="007B60E8"/>
    <w:rsid w:val="007B68C4"/>
    <w:rsid w:val="007C3DD9"/>
    <w:rsid w:val="007C40E0"/>
    <w:rsid w:val="007C4C10"/>
    <w:rsid w:val="007C5039"/>
    <w:rsid w:val="007D7D7E"/>
    <w:rsid w:val="007E41FB"/>
    <w:rsid w:val="007F30E9"/>
    <w:rsid w:val="007F5F1E"/>
    <w:rsid w:val="007F72F7"/>
    <w:rsid w:val="00806B3C"/>
    <w:rsid w:val="00814144"/>
    <w:rsid w:val="00817417"/>
    <w:rsid w:val="008270E2"/>
    <w:rsid w:val="00827ACC"/>
    <w:rsid w:val="00827E1B"/>
    <w:rsid w:val="008302E4"/>
    <w:rsid w:val="0083037A"/>
    <w:rsid w:val="00847DA2"/>
    <w:rsid w:val="00850F10"/>
    <w:rsid w:val="00854D48"/>
    <w:rsid w:val="00854EC6"/>
    <w:rsid w:val="00855019"/>
    <w:rsid w:val="00855D5E"/>
    <w:rsid w:val="00855E99"/>
    <w:rsid w:val="00861D95"/>
    <w:rsid w:val="0087633F"/>
    <w:rsid w:val="008775A6"/>
    <w:rsid w:val="00883105"/>
    <w:rsid w:val="00883A86"/>
    <w:rsid w:val="008903B3"/>
    <w:rsid w:val="00896D09"/>
    <w:rsid w:val="008A0D6B"/>
    <w:rsid w:val="008A3CB9"/>
    <w:rsid w:val="008A4DB0"/>
    <w:rsid w:val="008C0C4D"/>
    <w:rsid w:val="008C15AA"/>
    <w:rsid w:val="008C55A4"/>
    <w:rsid w:val="008C7DCB"/>
    <w:rsid w:val="008D4942"/>
    <w:rsid w:val="008E075A"/>
    <w:rsid w:val="008F3C7B"/>
    <w:rsid w:val="008F5F27"/>
    <w:rsid w:val="008F603D"/>
    <w:rsid w:val="008F7D6D"/>
    <w:rsid w:val="00924647"/>
    <w:rsid w:val="00924DC0"/>
    <w:rsid w:val="00935FE3"/>
    <w:rsid w:val="009369DE"/>
    <w:rsid w:val="00937B44"/>
    <w:rsid w:val="009408AE"/>
    <w:rsid w:val="00950E24"/>
    <w:rsid w:val="009558F7"/>
    <w:rsid w:val="00955BB2"/>
    <w:rsid w:val="009649DB"/>
    <w:rsid w:val="00965F09"/>
    <w:rsid w:val="009730F3"/>
    <w:rsid w:val="00973B6F"/>
    <w:rsid w:val="009760EB"/>
    <w:rsid w:val="009960A1"/>
    <w:rsid w:val="009A1A65"/>
    <w:rsid w:val="009B5123"/>
    <w:rsid w:val="009E2D5A"/>
    <w:rsid w:val="009E30A3"/>
    <w:rsid w:val="009E36C5"/>
    <w:rsid w:val="009E7713"/>
    <w:rsid w:val="009F5B66"/>
    <w:rsid w:val="009F7EC5"/>
    <w:rsid w:val="00A058DB"/>
    <w:rsid w:val="00A14F65"/>
    <w:rsid w:val="00A21359"/>
    <w:rsid w:val="00A238E8"/>
    <w:rsid w:val="00A24C09"/>
    <w:rsid w:val="00A25961"/>
    <w:rsid w:val="00A26E31"/>
    <w:rsid w:val="00A3064F"/>
    <w:rsid w:val="00A41D3A"/>
    <w:rsid w:val="00A45BF6"/>
    <w:rsid w:val="00A56AAB"/>
    <w:rsid w:val="00A6750F"/>
    <w:rsid w:val="00A70EB4"/>
    <w:rsid w:val="00A751FB"/>
    <w:rsid w:val="00A931C9"/>
    <w:rsid w:val="00A937A2"/>
    <w:rsid w:val="00A94185"/>
    <w:rsid w:val="00A94931"/>
    <w:rsid w:val="00AB4524"/>
    <w:rsid w:val="00AD3BCB"/>
    <w:rsid w:val="00AE46EE"/>
    <w:rsid w:val="00AE64B5"/>
    <w:rsid w:val="00AF0E7D"/>
    <w:rsid w:val="00AF47E1"/>
    <w:rsid w:val="00B01CC4"/>
    <w:rsid w:val="00B02669"/>
    <w:rsid w:val="00B12340"/>
    <w:rsid w:val="00B15B88"/>
    <w:rsid w:val="00B177DF"/>
    <w:rsid w:val="00B23120"/>
    <w:rsid w:val="00B412A4"/>
    <w:rsid w:val="00B430A3"/>
    <w:rsid w:val="00B60FF6"/>
    <w:rsid w:val="00B66BF0"/>
    <w:rsid w:val="00B724F0"/>
    <w:rsid w:val="00B811AE"/>
    <w:rsid w:val="00B84B62"/>
    <w:rsid w:val="00B860CA"/>
    <w:rsid w:val="00B96C8B"/>
    <w:rsid w:val="00BA1167"/>
    <w:rsid w:val="00BA22EE"/>
    <w:rsid w:val="00BA33B9"/>
    <w:rsid w:val="00BC3C54"/>
    <w:rsid w:val="00BC47B4"/>
    <w:rsid w:val="00BC7408"/>
    <w:rsid w:val="00BC7876"/>
    <w:rsid w:val="00BD2C1F"/>
    <w:rsid w:val="00BD65ED"/>
    <w:rsid w:val="00BE02F3"/>
    <w:rsid w:val="00BE4D4A"/>
    <w:rsid w:val="00BF6F01"/>
    <w:rsid w:val="00C24B74"/>
    <w:rsid w:val="00C25324"/>
    <w:rsid w:val="00C45161"/>
    <w:rsid w:val="00C573CF"/>
    <w:rsid w:val="00C643FC"/>
    <w:rsid w:val="00C66B1C"/>
    <w:rsid w:val="00C74139"/>
    <w:rsid w:val="00C756B9"/>
    <w:rsid w:val="00C76C3C"/>
    <w:rsid w:val="00CB2B87"/>
    <w:rsid w:val="00CB653F"/>
    <w:rsid w:val="00CB716A"/>
    <w:rsid w:val="00CC7955"/>
    <w:rsid w:val="00CD512C"/>
    <w:rsid w:val="00CD5727"/>
    <w:rsid w:val="00CD6958"/>
    <w:rsid w:val="00CD73B1"/>
    <w:rsid w:val="00CE101F"/>
    <w:rsid w:val="00CE6FB0"/>
    <w:rsid w:val="00CF112E"/>
    <w:rsid w:val="00CF11CB"/>
    <w:rsid w:val="00D1021A"/>
    <w:rsid w:val="00D1348F"/>
    <w:rsid w:val="00D15A26"/>
    <w:rsid w:val="00D167C5"/>
    <w:rsid w:val="00D20D8C"/>
    <w:rsid w:val="00D23EE1"/>
    <w:rsid w:val="00D244C4"/>
    <w:rsid w:val="00D31000"/>
    <w:rsid w:val="00D43757"/>
    <w:rsid w:val="00D55DF6"/>
    <w:rsid w:val="00D6741D"/>
    <w:rsid w:val="00D67EFA"/>
    <w:rsid w:val="00D74386"/>
    <w:rsid w:val="00D7502A"/>
    <w:rsid w:val="00D82C5C"/>
    <w:rsid w:val="00D8444C"/>
    <w:rsid w:val="00D85C23"/>
    <w:rsid w:val="00D913B1"/>
    <w:rsid w:val="00D92ABB"/>
    <w:rsid w:val="00D93B9E"/>
    <w:rsid w:val="00D94C5D"/>
    <w:rsid w:val="00D955E3"/>
    <w:rsid w:val="00D95D5F"/>
    <w:rsid w:val="00DA1B34"/>
    <w:rsid w:val="00DA7A8D"/>
    <w:rsid w:val="00DB0EBB"/>
    <w:rsid w:val="00DB18DD"/>
    <w:rsid w:val="00DB2487"/>
    <w:rsid w:val="00DC1711"/>
    <w:rsid w:val="00DC66BA"/>
    <w:rsid w:val="00DD71B3"/>
    <w:rsid w:val="00DD75D9"/>
    <w:rsid w:val="00DE3DC6"/>
    <w:rsid w:val="00DF4891"/>
    <w:rsid w:val="00DF6BCD"/>
    <w:rsid w:val="00E022E6"/>
    <w:rsid w:val="00E03D35"/>
    <w:rsid w:val="00E06117"/>
    <w:rsid w:val="00E30964"/>
    <w:rsid w:val="00E30FFD"/>
    <w:rsid w:val="00E324A0"/>
    <w:rsid w:val="00E47297"/>
    <w:rsid w:val="00E47959"/>
    <w:rsid w:val="00E518D8"/>
    <w:rsid w:val="00E52746"/>
    <w:rsid w:val="00E6367A"/>
    <w:rsid w:val="00E6511C"/>
    <w:rsid w:val="00E717BC"/>
    <w:rsid w:val="00E72303"/>
    <w:rsid w:val="00E85813"/>
    <w:rsid w:val="00E87EF0"/>
    <w:rsid w:val="00E91BE6"/>
    <w:rsid w:val="00E96FDB"/>
    <w:rsid w:val="00EB0B3D"/>
    <w:rsid w:val="00EB7682"/>
    <w:rsid w:val="00EC068D"/>
    <w:rsid w:val="00EC171A"/>
    <w:rsid w:val="00EE7625"/>
    <w:rsid w:val="00EF0B20"/>
    <w:rsid w:val="00EF2683"/>
    <w:rsid w:val="00EF5434"/>
    <w:rsid w:val="00F011A0"/>
    <w:rsid w:val="00F01E09"/>
    <w:rsid w:val="00F10C72"/>
    <w:rsid w:val="00F1108A"/>
    <w:rsid w:val="00F12868"/>
    <w:rsid w:val="00F21866"/>
    <w:rsid w:val="00F4202A"/>
    <w:rsid w:val="00F43CBC"/>
    <w:rsid w:val="00F4485D"/>
    <w:rsid w:val="00F45EBB"/>
    <w:rsid w:val="00F463B8"/>
    <w:rsid w:val="00F46704"/>
    <w:rsid w:val="00F519B5"/>
    <w:rsid w:val="00F57152"/>
    <w:rsid w:val="00F6332B"/>
    <w:rsid w:val="00F66F9B"/>
    <w:rsid w:val="00F72507"/>
    <w:rsid w:val="00F767DD"/>
    <w:rsid w:val="00F81088"/>
    <w:rsid w:val="00F823EB"/>
    <w:rsid w:val="00F870D3"/>
    <w:rsid w:val="00F905E9"/>
    <w:rsid w:val="00F91996"/>
    <w:rsid w:val="00F91A9D"/>
    <w:rsid w:val="00F9492E"/>
    <w:rsid w:val="00F95F32"/>
    <w:rsid w:val="00F994C6"/>
    <w:rsid w:val="00FA196F"/>
    <w:rsid w:val="00FA3EC0"/>
    <w:rsid w:val="00FA7A56"/>
    <w:rsid w:val="00FB1295"/>
    <w:rsid w:val="00FB50CD"/>
    <w:rsid w:val="00FB6BB8"/>
    <w:rsid w:val="00FC59E6"/>
    <w:rsid w:val="00FD0073"/>
    <w:rsid w:val="00FD64DA"/>
    <w:rsid w:val="00FE216B"/>
    <w:rsid w:val="00FE7569"/>
    <w:rsid w:val="06461220"/>
    <w:rsid w:val="07092631"/>
    <w:rsid w:val="0DF890F9"/>
    <w:rsid w:val="146A44B1"/>
    <w:rsid w:val="17CA18D6"/>
    <w:rsid w:val="1AF4CFFF"/>
    <w:rsid w:val="1EF8EFD4"/>
    <w:rsid w:val="203F0A97"/>
    <w:rsid w:val="20AE2C54"/>
    <w:rsid w:val="224892F6"/>
    <w:rsid w:val="2290AE7E"/>
    <w:rsid w:val="26B91D8D"/>
    <w:rsid w:val="2810D85B"/>
    <w:rsid w:val="2D5E22FA"/>
    <w:rsid w:val="3A1B1123"/>
    <w:rsid w:val="3BD17AB1"/>
    <w:rsid w:val="3C633BC3"/>
    <w:rsid w:val="42B3128E"/>
    <w:rsid w:val="4488A428"/>
    <w:rsid w:val="463D61A1"/>
    <w:rsid w:val="4B6795A4"/>
    <w:rsid w:val="4E481323"/>
    <w:rsid w:val="528E7BF3"/>
    <w:rsid w:val="58666227"/>
    <w:rsid w:val="5C00605D"/>
    <w:rsid w:val="5C884EF9"/>
    <w:rsid w:val="5DDB701D"/>
    <w:rsid w:val="69F2306E"/>
    <w:rsid w:val="6B9E6BF9"/>
    <w:rsid w:val="7446465C"/>
    <w:rsid w:val="772C89B3"/>
    <w:rsid w:val="7C68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BAE96"/>
  <w15:chartTrackingRefBased/>
  <w15:docId w15:val="{4DB4316C-DC7C-4BB9-8D1E-62594DC60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7C4C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7C4C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7C4C1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7C4C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7C4C1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7C4C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7C4C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7C4C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7C4C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7C4C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7C4C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7C4C1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7C4C10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7C4C10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7C4C10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7C4C10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7C4C10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7C4C1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7C4C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7C4C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7C4C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7C4C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7C4C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7C4C10"/>
    <w:rPr>
      <w:i/>
      <w:iCs/>
      <w:color w:val="404040" w:themeColor="text1" w:themeTint="BF"/>
    </w:rPr>
  </w:style>
  <w:style w:type="paragraph" w:styleId="Lijstalinea">
    <w:name w:val="List Paragraph"/>
    <w:basedOn w:val="Standaard"/>
    <w:link w:val="LijstalineaChar"/>
    <w:uiPriority w:val="34"/>
    <w:qFormat/>
    <w:rsid w:val="007C4C10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7C4C10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7C4C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7C4C10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7C4C10"/>
    <w:rPr>
      <w:b/>
      <w:bCs/>
      <w:smallCaps/>
      <w:color w:val="0F4761" w:themeColor="accent1" w:themeShade="BF"/>
      <w:spacing w:val="5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0C371A"/>
  </w:style>
  <w:style w:type="paragraph" w:styleId="Revisie">
    <w:name w:val="Revision"/>
    <w:hidden/>
    <w:uiPriority w:val="99"/>
    <w:semiHidden/>
    <w:rsid w:val="00A94185"/>
    <w:pPr>
      <w:spacing w:after="0" w:line="240" w:lineRule="auto"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507F4D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507F4D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507F4D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507F4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507F4D"/>
    <w:rPr>
      <w:b/>
      <w:bCs/>
      <w:sz w:val="20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6313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31320"/>
  </w:style>
  <w:style w:type="paragraph" w:styleId="Voettekst">
    <w:name w:val="footer"/>
    <w:basedOn w:val="Standaard"/>
    <w:link w:val="VoettekstChar"/>
    <w:uiPriority w:val="99"/>
    <w:unhideWhenUsed/>
    <w:rsid w:val="006313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313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9BEEF.CC24DF5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83786E03581C45827B29F1E77DA2F2" ma:contentTypeVersion="20" ma:contentTypeDescription="Een nieuw document maken." ma:contentTypeScope="" ma:versionID="5e53c86c7a34b26a8d8d2a0bb62d6aa3">
  <xsd:schema xmlns:xsd="http://www.w3.org/2001/XMLSchema" xmlns:xs="http://www.w3.org/2001/XMLSchema" xmlns:p="http://schemas.microsoft.com/office/2006/metadata/properties" xmlns:ns2="8c759bf6-42e2-4be2-8076-ca901ae762be" xmlns:ns3="0aa5b8dd-10c7-4ace-84a3-8edf5dd86461" targetNamespace="http://schemas.microsoft.com/office/2006/metadata/properties" ma:root="true" ma:fieldsID="dc1e73eedca530849505f3110bf4734a" ns2:_="" ns3:_="">
    <xsd:import namespace="8c759bf6-42e2-4be2-8076-ca901ae762be"/>
    <xsd:import namespace="0aa5b8dd-10c7-4ace-84a3-8edf5dd864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TaxCatchAll" minOccurs="0"/>
                <xsd:element ref="ns2:lcf76f155ced4ddcb4097134ff3c332f" minOccurs="0"/>
                <xsd:element ref="ns2:MediaServiceOCR" minOccurs="0"/>
                <xsd:element ref="ns3:SharedWithUsers" minOccurs="0"/>
                <xsd:element ref="ns3:SharedWithDetails" minOccurs="0"/>
                <xsd:element ref="ns2:Projectleider" minOccurs="0"/>
                <xsd:element ref="ns2:Status" minOccurs="0"/>
                <xsd:element ref="ns2:Datumentijd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759bf6-42e2-4be2-8076-ca901ae762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d5d20fea-fdae-4f2f-ac66-dc9eff6945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Projectleider" ma:index="22" nillable="true" ma:displayName="Projectleider" ma:list="UserInfo" ma:SharePointGroup="0" ma:internalName="Projectleid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23" nillable="true" ma:displayName="Status" ma:default="n ontwikkeling" ma:format="Dropdown" ma:internalName="Status">
      <xsd:simpleType>
        <xsd:restriction base="dms:Choice">
          <xsd:enumeration value="n ontwikkeling"/>
          <xsd:enumeration value="Actief"/>
          <xsd:enumeration value="Geschorst"/>
          <xsd:enumeration value="Teruggetrokken"/>
        </xsd:restriction>
      </xsd:simpleType>
    </xsd:element>
    <xsd:element name="Datumentijd" ma:index="24" nillable="true" ma:displayName="Datumentijd" ma:format="DateOnly" ma:internalName="Datumentijd">
      <xsd:simpleType>
        <xsd:restriction base="dms:DateTim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a5b8dd-10c7-4ace-84a3-8edf5dd86461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b70d6591-0ab7-4ad1-93a7-6d3bab08a52b}" ma:internalName="TaxCatchAll" ma:showField="CatchAllData" ma:web="0aa5b8dd-10c7-4ace-84a3-8edf5dd864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leider xmlns="8c759bf6-42e2-4be2-8076-ca901ae762be">
      <UserInfo>
        <DisplayName/>
        <AccountId xsi:nil="true"/>
        <AccountType/>
      </UserInfo>
    </Projectleider>
    <Datumentijd xmlns="8c759bf6-42e2-4be2-8076-ca901ae762be" xsi:nil="true"/>
    <Status xmlns="8c759bf6-42e2-4be2-8076-ca901ae762be">n ontwikkeling</Status>
    <TaxCatchAll xmlns="0aa5b8dd-10c7-4ace-84a3-8edf5dd86461" xsi:nil="true"/>
    <lcf76f155ced4ddcb4097134ff3c332f xmlns="8c759bf6-42e2-4be2-8076-ca901ae762b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1A1D0F7-CA33-44E0-8B83-76C2A4506173}"/>
</file>

<file path=customXml/itemProps2.xml><?xml version="1.0" encoding="utf-8"?>
<ds:datastoreItem xmlns:ds="http://schemas.openxmlformats.org/officeDocument/2006/customXml" ds:itemID="{839CAB97-B9DA-45BE-8532-EEA30567670E}"/>
</file>

<file path=customXml/itemProps3.xml><?xml version="1.0" encoding="utf-8"?>
<ds:datastoreItem xmlns:ds="http://schemas.openxmlformats.org/officeDocument/2006/customXml" ds:itemID="{41D70BBD-ABFE-41AB-8DA9-8412BD9B9A0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1031</Words>
  <Characters>5880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 van der Aa</dc:creator>
  <cp:keywords/>
  <dc:description/>
  <cp:lastModifiedBy>Michèl Geraets</cp:lastModifiedBy>
  <cp:revision>3</cp:revision>
  <dcterms:created xsi:type="dcterms:W3CDTF">2026-02-13T09:02:00Z</dcterms:created>
  <dcterms:modified xsi:type="dcterms:W3CDTF">2026-02-20T15:29:00Z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0x0101000E83786E03581C45827B29F1E77DA2F2</vt:lpwstr>
  </property>
  <property fmtid="{D5CDD505-2E9C-101B-9397-08002B2CF9AE}" pid="3" name="MediaServiceImageTags">
    <vt:lpwstr/>
  </property>
</Properties>
</file>